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7A7B" w14:textId="4C60B65D" w:rsidR="009B632F" w:rsidRPr="00251F00" w:rsidRDefault="00DD5154">
      <w:pPr>
        <w:rPr>
          <w:color w:val="FF0000"/>
        </w:rPr>
      </w:pPr>
      <w:r w:rsidRPr="00251F00">
        <w:rPr>
          <w:color w:val="FF0000"/>
        </w:rPr>
        <w:t>Main School</w:t>
      </w:r>
    </w:p>
    <w:p w14:paraId="71C10ABF" w14:textId="2C896364" w:rsidR="00DD5154" w:rsidRPr="00DD5154" w:rsidRDefault="00DD5154" w:rsidP="00DD5154">
      <w:r w:rsidRPr="00DD5154">
        <w:t xml:space="preserve">We are an 11-18 mixed, converter academy, serving the Catholic population within </w:t>
      </w:r>
      <w:r>
        <w:t>the Tynemouth Priory Partnership</w:t>
      </w:r>
      <w:r w:rsidRPr="00DD5154">
        <w:t>. There are also seven Catholic primary schools within the deanery.</w:t>
      </w:r>
      <w:r w:rsidR="00C27730">
        <w:t xml:space="preserve"> </w:t>
      </w:r>
      <w:r w:rsidRPr="00DD5154">
        <w:t>The Governors took up the opportunity to convert to Academy status in December 2011</w:t>
      </w:r>
      <w:r>
        <w:t xml:space="preserve"> and in December 2020 we joined the Bishop </w:t>
      </w:r>
      <w:proofErr w:type="spellStart"/>
      <w:r>
        <w:t>Bewick</w:t>
      </w:r>
      <w:proofErr w:type="spellEnd"/>
      <w:r>
        <w:t xml:space="preserve"> Catholic Education Trust,</w:t>
      </w:r>
    </w:p>
    <w:p w14:paraId="15C63946" w14:textId="77777777" w:rsidR="00DD5154" w:rsidRPr="00DD5154" w:rsidRDefault="00DD5154" w:rsidP="00DD5154">
      <w:r w:rsidRPr="00DD5154">
        <w:t>The wide catchment area provides us with a well-balanced, genuinely comprehensive intake, which we believe to be one of our many strengths. The school has capacity for 1700 students which includes up to 350 in the Sixth Form.</w:t>
      </w:r>
    </w:p>
    <w:p w14:paraId="708FFDE1" w14:textId="074ABD0A" w:rsidR="00DD5154" w:rsidRPr="00DD5154" w:rsidRDefault="00DD5154" w:rsidP="00DD5154">
      <w:r w:rsidRPr="00DD5154">
        <w:t>Governors admit up to 270 students in Year 7 each year, and the “staying-on” rate into our Sixth Form is consistently around 6</w:t>
      </w:r>
      <w:r>
        <w:t>0</w:t>
      </w:r>
      <w:r w:rsidRPr="00DD5154">
        <w:t xml:space="preserve">%. The Sixth Form also admits </w:t>
      </w:r>
      <w:proofErr w:type="gramStart"/>
      <w:r w:rsidRPr="00DD5154">
        <w:t>a number of</w:t>
      </w:r>
      <w:proofErr w:type="gramEnd"/>
      <w:r w:rsidRPr="00DD5154">
        <w:t xml:space="preserve"> students from other schools each year.</w:t>
      </w:r>
    </w:p>
    <w:p w14:paraId="5BA8B531" w14:textId="774B7EAA" w:rsidR="00DD5154" w:rsidRPr="00DD5154" w:rsidRDefault="00DD5154" w:rsidP="00DD5154">
      <w:r w:rsidRPr="00DD5154">
        <w:t xml:space="preserve">St Thomas More is </w:t>
      </w:r>
      <w:r>
        <w:t xml:space="preserve">consistently </w:t>
      </w:r>
      <w:r w:rsidRPr="00DD5154">
        <w:t xml:space="preserve">one of the most successful schools in North Tyneside.  </w:t>
      </w:r>
    </w:p>
    <w:p w14:paraId="29783E7E" w14:textId="1B80D337" w:rsidR="00DD5154" w:rsidRDefault="00DD5154" w:rsidP="00DD5154">
      <w:pPr>
        <w:rPr>
          <w:b/>
          <w:bCs/>
        </w:rPr>
      </w:pPr>
      <w:r w:rsidRPr="00DD5154">
        <w:rPr>
          <w:b/>
          <w:bCs/>
        </w:rPr>
        <w:t>KS4 RESULTS 20</w:t>
      </w:r>
      <w:r>
        <w:rPr>
          <w:b/>
          <w:bCs/>
        </w:rPr>
        <w:t>22</w:t>
      </w:r>
    </w:p>
    <w:p w14:paraId="3833AA37" w14:textId="1DCCE426" w:rsidR="008A04B8" w:rsidRPr="00DD5154" w:rsidRDefault="008A04B8" w:rsidP="00DD5154">
      <w:r>
        <w:t>There were 261 students on roll at the end of Year 11.</w:t>
      </w:r>
    </w:p>
    <w:p w14:paraId="01E962F8" w14:textId="77777777" w:rsidR="00DD5154" w:rsidRPr="00DD5154" w:rsidRDefault="00DD5154" w:rsidP="00DD5154">
      <w:r w:rsidRPr="00DD5154">
        <w:rPr>
          <w:b/>
          <w:bCs/>
        </w:rPr>
        <w:t xml:space="preserve">Progress 8 </w:t>
      </w:r>
      <w:proofErr w:type="gramStart"/>
      <w:r w:rsidRPr="00DD5154">
        <w:rPr>
          <w:b/>
          <w:bCs/>
        </w:rPr>
        <w:t>Score</w:t>
      </w:r>
      <w:proofErr w:type="gramEnd"/>
    </w:p>
    <w:p w14:paraId="71866F53" w14:textId="6FC2C8FB" w:rsidR="00DD5154" w:rsidRPr="00DD5154" w:rsidRDefault="00DD5154" w:rsidP="00DD5154">
      <w:r w:rsidRPr="00DD5154">
        <w:t xml:space="preserve">The school’s </w:t>
      </w:r>
      <w:r>
        <w:t xml:space="preserve">indicative </w:t>
      </w:r>
      <w:r w:rsidRPr="00DD5154">
        <w:rPr>
          <w:b/>
          <w:bCs/>
        </w:rPr>
        <w:t xml:space="preserve">Progress 8 score is </w:t>
      </w:r>
      <w:r w:rsidRPr="00C27730">
        <w:rPr>
          <w:b/>
          <w:bCs/>
        </w:rPr>
        <w:t>0.15</w:t>
      </w:r>
      <w:r>
        <w:t xml:space="preserve"> (from national benchmarking by SISRA Analytics)</w:t>
      </w:r>
    </w:p>
    <w:p w14:paraId="6C5BCF9C" w14:textId="01FBF24D" w:rsidR="00DD5154" w:rsidRDefault="00DD5154" w:rsidP="00DD5154">
      <w:pPr>
        <w:rPr>
          <w:b/>
          <w:bCs/>
        </w:rPr>
      </w:pPr>
      <w:r w:rsidRPr="00DD5154">
        <w:rPr>
          <w:b/>
          <w:bCs/>
        </w:rPr>
        <w:t>Attainment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1701"/>
      </w:tblGrid>
      <w:tr w:rsidR="008A04B8" w14:paraId="033A8709" w14:textId="77777777" w:rsidTr="008A04B8">
        <w:tc>
          <w:tcPr>
            <w:tcW w:w="3005" w:type="dxa"/>
          </w:tcPr>
          <w:p w14:paraId="309C826D" w14:textId="718DE10D" w:rsidR="008A04B8" w:rsidRDefault="008A04B8" w:rsidP="00DD5154">
            <w:pPr>
              <w:rPr>
                <w:b/>
                <w:bCs/>
              </w:rPr>
            </w:pPr>
            <w:bookmarkStart w:id="0" w:name="_Hlk114042688"/>
            <w:r>
              <w:rPr>
                <w:b/>
                <w:bCs/>
              </w:rPr>
              <w:t>Measure</w:t>
            </w:r>
          </w:p>
        </w:tc>
        <w:tc>
          <w:tcPr>
            <w:tcW w:w="1810" w:type="dxa"/>
          </w:tcPr>
          <w:p w14:paraId="7F446F81" w14:textId="45996D8A" w:rsidR="008A04B8" w:rsidRDefault="008A04B8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 Thomas More</w:t>
            </w:r>
          </w:p>
        </w:tc>
        <w:tc>
          <w:tcPr>
            <w:tcW w:w="1701" w:type="dxa"/>
          </w:tcPr>
          <w:p w14:paraId="7F7694E1" w14:textId="1598C71E" w:rsidR="008A04B8" w:rsidRDefault="008A04B8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Tyneside</w:t>
            </w:r>
          </w:p>
        </w:tc>
      </w:tr>
      <w:tr w:rsidR="008A04B8" w14:paraId="354FA082" w14:textId="77777777" w:rsidTr="008A04B8">
        <w:tc>
          <w:tcPr>
            <w:tcW w:w="3005" w:type="dxa"/>
          </w:tcPr>
          <w:p w14:paraId="775B0B27" w14:textId="65ABC364" w:rsidR="008A04B8" w:rsidRDefault="008A04B8" w:rsidP="00DD5154">
            <w:pPr>
              <w:rPr>
                <w:b/>
                <w:bCs/>
              </w:rPr>
            </w:pPr>
            <w:r>
              <w:rPr>
                <w:b/>
                <w:bCs/>
              </w:rPr>
              <w:t>Attainment 8 score</w:t>
            </w:r>
          </w:p>
        </w:tc>
        <w:tc>
          <w:tcPr>
            <w:tcW w:w="1810" w:type="dxa"/>
          </w:tcPr>
          <w:p w14:paraId="7AC7E1C9" w14:textId="0038E85E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54.2</w:t>
            </w:r>
          </w:p>
        </w:tc>
        <w:tc>
          <w:tcPr>
            <w:tcW w:w="1701" w:type="dxa"/>
          </w:tcPr>
          <w:p w14:paraId="612DCE49" w14:textId="477E966F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47.9</w:t>
            </w:r>
          </w:p>
        </w:tc>
      </w:tr>
      <w:tr w:rsidR="008A04B8" w14:paraId="169CEC8C" w14:textId="77777777" w:rsidTr="008A04B8">
        <w:tc>
          <w:tcPr>
            <w:tcW w:w="3005" w:type="dxa"/>
          </w:tcPr>
          <w:p w14:paraId="4ACD7AD6" w14:textId="40A48205" w:rsidR="008A04B8" w:rsidRDefault="008A04B8" w:rsidP="00DD5154">
            <w:pPr>
              <w:rPr>
                <w:b/>
                <w:bCs/>
              </w:rPr>
            </w:pPr>
            <w:r>
              <w:rPr>
                <w:b/>
                <w:bCs/>
              </w:rPr>
              <w:t>% English &amp; Maths Grade 5+</w:t>
            </w:r>
          </w:p>
        </w:tc>
        <w:tc>
          <w:tcPr>
            <w:tcW w:w="1810" w:type="dxa"/>
          </w:tcPr>
          <w:p w14:paraId="47EE34E4" w14:textId="38F7D744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58%</w:t>
            </w:r>
          </w:p>
        </w:tc>
        <w:tc>
          <w:tcPr>
            <w:tcW w:w="1701" w:type="dxa"/>
          </w:tcPr>
          <w:p w14:paraId="186FDDCE" w14:textId="6FEEE8B4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47%</w:t>
            </w:r>
          </w:p>
        </w:tc>
      </w:tr>
      <w:tr w:rsidR="008A04B8" w14:paraId="392209E1" w14:textId="77777777" w:rsidTr="008A04B8">
        <w:tc>
          <w:tcPr>
            <w:tcW w:w="3005" w:type="dxa"/>
          </w:tcPr>
          <w:p w14:paraId="1D2B7FFE" w14:textId="7F0B9296" w:rsidR="008A04B8" w:rsidRDefault="008A04B8" w:rsidP="008A04B8">
            <w:pPr>
              <w:rPr>
                <w:b/>
                <w:bCs/>
              </w:rPr>
            </w:pPr>
            <w:r>
              <w:rPr>
                <w:b/>
                <w:bCs/>
              </w:rPr>
              <w:t>% English &amp; Maths Grade 4+</w:t>
            </w:r>
          </w:p>
        </w:tc>
        <w:tc>
          <w:tcPr>
            <w:tcW w:w="1810" w:type="dxa"/>
          </w:tcPr>
          <w:p w14:paraId="28D9F18A" w14:textId="4B6009C5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78%</w:t>
            </w:r>
          </w:p>
        </w:tc>
        <w:tc>
          <w:tcPr>
            <w:tcW w:w="1701" w:type="dxa"/>
          </w:tcPr>
          <w:p w14:paraId="4C1412CC" w14:textId="6EA8CE41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</w:tr>
      <w:tr w:rsidR="008A04B8" w14:paraId="5202A73D" w14:textId="77777777" w:rsidTr="008A04B8">
        <w:tc>
          <w:tcPr>
            <w:tcW w:w="3005" w:type="dxa"/>
          </w:tcPr>
          <w:p w14:paraId="69E1DA8C" w14:textId="681297BB" w:rsidR="008A04B8" w:rsidRDefault="008A04B8" w:rsidP="008A04B8">
            <w:pPr>
              <w:rPr>
                <w:b/>
                <w:bCs/>
              </w:rPr>
            </w:pPr>
            <w:r>
              <w:rPr>
                <w:b/>
                <w:bCs/>
              </w:rPr>
              <w:t>% Entered for the EBACC</w:t>
            </w:r>
          </w:p>
        </w:tc>
        <w:tc>
          <w:tcPr>
            <w:tcW w:w="1810" w:type="dxa"/>
          </w:tcPr>
          <w:p w14:paraId="188A1696" w14:textId="158F8EC7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1701" w:type="dxa"/>
          </w:tcPr>
          <w:p w14:paraId="04913749" w14:textId="25E13AFD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29%</w:t>
            </w:r>
          </w:p>
        </w:tc>
      </w:tr>
      <w:tr w:rsidR="008A04B8" w14:paraId="69DBD74B" w14:textId="77777777" w:rsidTr="008A04B8">
        <w:tc>
          <w:tcPr>
            <w:tcW w:w="3005" w:type="dxa"/>
          </w:tcPr>
          <w:p w14:paraId="5230C74C" w14:textId="3C30C1E3" w:rsidR="008A04B8" w:rsidRDefault="00DD424C" w:rsidP="008A04B8">
            <w:pPr>
              <w:rPr>
                <w:b/>
                <w:bCs/>
              </w:rPr>
            </w:pPr>
            <w:r>
              <w:rPr>
                <w:b/>
                <w:bCs/>
              </w:rPr>
              <w:t>EBACC average points score</w:t>
            </w:r>
          </w:p>
        </w:tc>
        <w:tc>
          <w:tcPr>
            <w:tcW w:w="1810" w:type="dxa"/>
          </w:tcPr>
          <w:p w14:paraId="345A92A4" w14:textId="2E35891A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1701" w:type="dxa"/>
          </w:tcPr>
          <w:p w14:paraId="11B863DD" w14:textId="23E59D41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</w:tr>
      <w:tr w:rsidR="008A04B8" w14:paraId="42ED4079" w14:textId="77777777" w:rsidTr="008A04B8">
        <w:tc>
          <w:tcPr>
            <w:tcW w:w="3005" w:type="dxa"/>
          </w:tcPr>
          <w:p w14:paraId="4AD6A015" w14:textId="735E55CA" w:rsidR="008A04B8" w:rsidRDefault="008A04B8" w:rsidP="008A04B8">
            <w:pPr>
              <w:rPr>
                <w:b/>
                <w:bCs/>
              </w:rPr>
            </w:pPr>
            <w:r>
              <w:rPr>
                <w:b/>
                <w:bCs/>
              </w:rPr>
              <w:t>% EBACC Grade 5+</w:t>
            </w:r>
          </w:p>
        </w:tc>
        <w:tc>
          <w:tcPr>
            <w:tcW w:w="1810" w:type="dxa"/>
          </w:tcPr>
          <w:p w14:paraId="26C82610" w14:textId="4F26F016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35%</w:t>
            </w:r>
          </w:p>
        </w:tc>
        <w:tc>
          <w:tcPr>
            <w:tcW w:w="1701" w:type="dxa"/>
          </w:tcPr>
          <w:p w14:paraId="676904E2" w14:textId="34B1886D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16%</w:t>
            </w:r>
          </w:p>
        </w:tc>
      </w:tr>
      <w:tr w:rsidR="008A04B8" w14:paraId="5769A88E" w14:textId="77777777" w:rsidTr="008A04B8">
        <w:tc>
          <w:tcPr>
            <w:tcW w:w="3005" w:type="dxa"/>
          </w:tcPr>
          <w:p w14:paraId="22CF2ACA" w14:textId="07E387EE" w:rsidR="008A04B8" w:rsidRDefault="008A04B8" w:rsidP="008A04B8">
            <w:pPr>
              <w:rPr>
                <w:b/>
                <w:bCs/>
              </w:rPr>
            </w:pPr>
            <w:r>
              <w:rPr>
                <w:b/>
                <w:bCs/>
              </w:rPr>
              <w:t>% EBACC Grade 4+</w:t>
            </w:r>
          </w:p>
        </w:tc>
        <w:tc>
          <w:tcPr>
            <w:tcW w:w="1810" w:type="dxa"/>
          </w:tcPr>
          <w:p w14:paraId="00A95024" w14:textId="32A103E1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1701" w:type="dxa"/>
          </w:tcPr>
          <w:p w14:paraId="7A7436DD" w14:textId="325AF6EA" w:rsidR="008A04B8" w:rsidRDefault="00DD424C" w:rsidP="00DD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</w:tr>
      <w:bookmarkEnd w:id="0"/>
    </w:tbl>
    <w:p w14:paraId="398B2F64" w14:textId="77777777" w:rsidR="00DD5154" w:rsidRPr="00DD5154" w:rsidRDefault="00DD5154" w:rsidP="00DD5154">
      <w:pPr>
        <w:rPr>
          <w:b/>
          <w:bCs/>
        </w:rPr>
      </w:pPr>
    </w:p>
    <w:p w14:paraId="19388351" w14:textId="77777777" w:rsidR="00DD5154" w:rsidRPr="00DD5154" w:rsidRDefault="00DD5154" w:rsidP="00DD5154">
      <w:r w:rsidRPr="00DD5154">
        <w:rPr>
          <w:b/>
          <w:bCs/>
        </w:rPr>
        <w:t>Pupil destinations</w:t>
      </w:r>
    </w:p>
    <w:p w14:paraId="281286C8" w14:textId="0671717B" w:rsidR="00DD5154" w:rsidRPr="00DD5154" w:rsidRDefault="00DD5154" w:rsidP="00DD5154">
      <w:r w:rsidRPr="00DD5154">
        <w:t xml:space="preserve">This measures the number of pupils who either stayed in education </w:t>
      </w:r>
      <w:r w:rsidR="00DD424C">
        <w:t>or train</w:t>
      </w:r>
      <w:r w:rsidR="00251F00">
        <w:t xml:space="preserve">ing, </w:t>
      </w:r>
      <w:r w:rsidRPr="00DD5154">
        <w:t>or went into employment after Year 11. The data published in October 20</w:t>
      </w:r>
      <w:r w:rsidR="00251F00">
        <w:t>21</w:t>
      </w:r>
      <w:r w:rsidRPr="00DD5154">
        <w:t xml:space="preserve"> is for pupils who finished Year 11 in 201</w:t>
      </w:r>
      <w:r w:rsidR="00251F00">
        <w:t>9</w:t>
      </w:r>
      <w:r w:rsidRPr="00DD515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1677"/>
        <w:gridCol w:w="1985"/>
      </w:tblGrid>
      <w:tr w:rsidR="00DD5154" w:rsidRPr="00DD5154" w14:paraId="3DC21CCD" w14:textId="77777777" w:rsidTr="00251F00"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95DA7" w14:textId="77777777" w:rsidR="00DD5154" w:rsidRPr="00DD5154" w:rsidRDefault="00DD5154" w:rsidP="00DD5154">
            <w:r w:rsidRPr="00DD5154">
              <w:t> 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AB5F1" w14:textId="1F944993" w:rsidR="00DD5154" w:rsidRPr="00DD5154" w:rsidRDefault="00DD5154" w:rsidP="00DD5154">
            <w:r w:rsidRPr="00DD5154">
              <w:rPr>
                <w:b/>
                <w:bCs/>
              </w:rPr>
              <w:t> S</w:t>
            </w:r>
            <w:r w:rsidR="00251F00">
              <w:rPr>
                <w:b/>
                <w:bCs/>
              </w:rPr>
              <w:t>t Thomas More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2DC6E" w14:textId="77777777" w:rsidR="00DD5154" w:rsidRPr="00DD5154" w:rsidRDefault="00DD5154" w:rsidP="00DD5154">
            <w:r w:rsidRPr="00DD5154">
              <w:rPr>
                <w:b/>
                <w:bCs/>
              </w:rPr>
              <w:t> North Tyneside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F47CC" w14:textId="77777777" w:rsidR="00DD5154" w:rsidRPr="00DD5154" w:rsidRDefault="00DD5154" w:rsidP="00DD5154">
            <w:r w:rsidRPr="00DD5154">
              <w:rPr>
                <w:b/>
                <w:bCs/>
              </w:rPr>
              <w:t> England all schools</w:t>
            </w:r>
          </w:p>
        </w:tc>
      </w:tr>
      <w:tr w:rsidR="00DD5154" w:rsidRPr="00DD5154" w14:paraId="034411C7" w14:textId="77777777" w:rsidTr="00251F00"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7A715" w14:textId="3182496C" w:rsidR="00DD5154" w:rsidRPr="00DD5154" w:rsidRDefault="00DD5154" w:rsidP="00DD5154">
            <w:r w:rsidRPr="00DD5154">
              <w:rPr>
                <w:b/>
                <w:bCs/>
              </w:rPr>
              <w:t>Pupils staying in education or starting employment</w:t>
            </w:r>
            <w:r w:rsidR="00251F00">
              <w:rPr>
                <w:b/>
                <w:bCs/>
              </w:rPr>
              <w:t xml:space="preserve"> for at least 2 terms after Year 11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1BCD4" w14:textId="472882D8" w:rsidR="00DD5154" w:rsidRPr="00DD5154" w:rsidRDefault="00DD5154" w:rsidP="00251F00">
            <w:pPr>
              <w:jc w:val="center"/>
              <w:rPr>
                <w:b/>
                <w:bCs/>
              </w:rPr>
            </w:pPr>
            <w:r w:rsidRPr="00DD5154">
              <w:rPr>
                <w:b/>
                <w:bCs/>
              </w:rPr>
              <w:t>9</w:t>
            </w:r>
            <w:r w:rsidR="00251F00">
              <w:rPr>
                <w:b/>
                <w:bCs/>
              </w:rPr>
              <w:t>8</w:t>
            </w:r>
            <w:r w:rsidRPr="00DD5154">
              <w:rPr>
                <w:b/>
                <w:bCs/>
              </w:rPr>
              <w:t>%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CF94" w14:textId="783EB41B" w:rsidR="00DD5154" w:rsidRPr="00DD5154" w:rsidRDefault="00DD5154" w:rsidP="00251F00">
            <w:pPr>
              <w:jc w:val="center"/>
              <w:rPr>
                <w:b/>
                <w:bCs/>
              </w:rPr>
            </w:pPr>
            <w:r w:rsidRPr="00DD5154">
              <w:rPr>
                <w:b/>
                <w:bCs/>
              </w:rPr>
              <w:t>9</w:t>
            </w:r>
            <w:r w:rsidR="00251F00">
              <w:rPr>
                <w:b/>
                <w:bCs/>
              </w:rPr>
              <w:t>4</w:t>
            </w:r>
            <w:r w:rsidRPr="00DD5154">
              <w:rPr>
                <w:b/>
                <w:bCs/>
              </w:rPr>
              <w:t>%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544E" w14:textId="77777777" w:rsidR="00DD5154" w:rsidRPr="00DD5154" w:rsidRDefault="00DD5154" w:rsidP="00251F00">
            <w:pPr>
              <w:jc w:val="center"/>
              <w:rPr>
                <w:b/>
                <w:bCs/>
              </w:rPr>
            </w:pPr>
            <w:r w:rsidRPr="00DD5154">
              <w:rPr>
                <w:b/>
                <w:bCs/>
              </w:rPr>
              <w:t>94%</w:t>
            </w:r>
          </w:p>
        </w:tc>
      </w:tr>
    </w:tbl>
    <w:p w14:paraId="47B8CEEC" w14:textId="77777777" w:rsidR="00C27730" w:rsidRDefault="00DD5154" w:rsidP="00DD5154">
      <w:r w:rsidRPr="00DD5154">
        <w:t> </w:t>
      </w:r>
    </w:p>
    <w:p w14:paraId="4681C1F6" w14:textId="55CD801D" w:rsidR="00DD5154" w:rsidRPr="00DD5154" w:rsidRDefault="00DD5154" w:rsidP="00DD5154">
      <w:bookmarkStart w:id="1" w:name="_Hlk114042616"/>
      <w:r w:rsidRPr="00DD5154">
        <w:t xml:space="preserve">Each school has information about their performance published on the Department for Education’s website. This allows parents to view their performance, characteristics, workforce, </w:t>
      </w:r>
      <w:proofErr w:type="gramStart"/>
      <w:r w:rsidRPr="00DD5154">
        <w:t>finance</w:t>
      </w:r>
      <w:proofErr w:type="gramEnd"/>
      <w:r w:rsidRPr="00DD5154">
        <w:t xml:space="preserve"> and Ofsted inspection outcomes.</w:t>
      </w:r>
    </w:p>
    <w:p w14:paraId="7AFACB36" w14:textId="77777777" w:rsidR="00DD5154" w:rsidRPr="00DD5154" w:rsidRDefault="00DD5154" w:rsidP="00DD5154">
      <w:r w:rsidRPr="00DD5154">
        <w:rPr>
          <w:b/>
          <w:bCs/>
        </w:rPr>
        <w:t>Find the link to the Department for Education School Performance tables below:</w:t>
      </w:r>
    </w:p>
    <w:p w14:paraId="0252D673" w14:textId="77777777" w:rsidR="00DD5154" w:rsidRPr="00DD5154" w:rsidRDefault="009A5699" w:rsidP="00DD5154">
      <w:hyperlink r:id="rId4" w:history="1">
        <w:r w:rsidR="00DD5154" w:rsidRPr="00DD5154">
          <w:rPr>
            <w:rStyle w:val="Hyperlink"/>
          </w:rPr>
          <w:t>DfE School Performance Tables</w:t>
        </w:r>
      </w:hyperlink>
    </w:p>
    <w:bookmarkEnd w:id="1"/>
    <w:p w14:paraId="3540F723" w14:textId="45537DE0" w:rsidR="00DD5154" w:rsidRDefault="00C27730">
      <w:pPr>
        <w:rPr>
          <w:color w:val="FF0000"/>
        </w:rPr>
      </w:pPr>
      <w:r>
        <w:rPr>
          <w:color w:val="FF0000"/>
        </w:rPr>
        <w:lastRenderedPageBreak/>
        <w:t>Sixth Form</w:t>
      </w:r>
    </w:p>
    <w:p w14:paraId="6FCBB441" w14:textId="6EC88A1B" w:rsidR="00C27730" w:rsidRPr="00C27730" w:rsidRDefault="007B6167" w:rsidP="00C27730">
      <w:r>
        <w:t>There were 135 students on roll at the end of Year 13.</w:t>
      </w:r>
    </w:p>
    <w:p w14:paraId="74CF2123" w14:textId="7F1269F5" w:rsidR="00C27730" w:rsidRPr="00C27730" w:rsidRDefault="007B6167" w:rsidP="00C27730">
      <w:pPr>
        <w:rPr>
          <w:b/>
          <w:bCs/>
        </w:rPr>
      </w:pPr>
      <w:r>
        <w:rPr>
          <w:b/>
          <w:bCs/>
        </w:rPr>
        <w:t>KS5 Results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</w:tblGrid>
      <w:tr w:rsidR="00781AE8" w14:paraId="7B2D8AC7" w14:textId="77777777" w:rsidTr="00D03A33">
        <w:tc>
          <w:tcPr>
            <w:tcW w:w="4957" w:type="dxa"/>
          </w:tcPr>
          <w:p w14:paraId="6877E4E3" w14:textId="77777777" w:rsidR="00781AE8" w:rsidRDefault="00781AE8" w:rsidP="008C09A9">
            <w:pPr>
              <w:rPr>
                <w:b/>
                <w:bCs/>
              </w:rPr>
            </w:pPr>
            <w:r>
              <w:rPr>
                <w:b/>
                <w:bCs/>
              </w:rPr>
              <w:t>Measure</w:t>
            </w:r>
          </w:p>
        </w:tc>
        <w:tc>
          <w:tcPr>
            <w:tcW w:w="1984" w:type="dxa"/>
          </w:tcPr>
          <w:p w14:paraId="5A94C509" w14:textId="77777777" w:rsidR="00781AE8" w:rsidRDefault="00781AE8" w:rsidP="008C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 Thomas More</w:t>
            </w:r>
          </w:p>
        </w:tc>
      </w:tr>
      <w:tr w:rsidR="00781AE8" w14:paraId="2E8E4C42" w14:textId="77777777" w:rsidTr="00D03A33">
        <w:tc>
          <w:tcPr>
            <w:tcW w:w="4957" w:type="dxa"/>
          </w:tcPr>
          <w:p w14:paraId="1D31F9D1" w14:textId="15CEAFAB" w:rsidR="00781AE8" w:rsidRDefault="00781AE8" w:rsidP="008C09A9">
            <w:pPr>
              <w:rPr>
                <w:b/>
                <w:bCs/>
              </w:rPr>
            </w:pPr>
            <w:r>
              <w:rPr>
                <w:b/>
                <w:bCs/>
              </w:rPr>
              <w:t>Average Point Score per Academic (A Level) Entry</w:t>
            </w:r>
          </w:p>
        </w:tc>
        <w:tc>
          <w:tcPr>
            <w:tcW w:w="1984" w:type="dxa"/>
          </w:tcPr>
          <w:p w14:paraId="214994C7" w14:textId="009A092A" w:rsidR="00781AE8" w:rsidRDefault="00781AE8" w:rsidP="008C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40.4</w:t>
            </w:r>
          </w:p>
        </w:tc>
      </w:tr>
      <w:tr w:rsidR="00781AE8" w14:paraId="077EE2AD" w14:textId="77777777" w:rsidTr="00D03A33">
        <w:tc>
          <w:tcPr>
            <w:tcW w:w="4957" w:type="dxa"/>
          </w:tcPr>
          <w:p w14:paraId="24105EFD" w14:textId="66FCC993" w:rsidR="00781AE8" w:rsidRDefault="00781AE8" w:rsidP="008C09A9">
            <w:pPr>
              <w:rPr>
                <w:b/>
                <w:bCs/>
              </w:rPr>
            </w:pPr>
            <w:r>
              <w:rPr>
                <w:b/>
                <w:bCs/>
              </w:rPr>
              <w:t>% A*-A</w:t>
            </w:r>
          </w:p>
        </w:tc>
        <w:tc>
          <w:tcPr>
            <w:tcW w:w="1984" w:type="dxa"/>
          </w:tcPr>
          <w:p w14:paraId="2318CFAD" w14:textId="7D7C48A0" w:rsidR="00781AE8" w:rsidRDefault="00694F72" w:rsidP="008C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781AE8">
              <w:rPr>
                <w:b/>
                <w:bCs/>
              </w:rPr>
              <w:t>%</w:t>
            </w:r>
          </w:p>
        </w:tc>
      </w:tr>
      <w:tr w:rsidR="00781AE8" w14:paraId="77B8A63E" w14:textId="77777777" w:rsidTr="00D03A33">
        <w:tc>
          <w:tcPr>
            <w:tcW w:w="4957" w:type="dxa"/>
          </w:tcPr>
          <w:p w14:paraId="29CAC5CA" w14:textId="04A36AEA" w:rsidR="00781AE8" w:rsidRDefault="00781AE8" w:rsidP="008C09A9">
            <w:pPr>
              <w:rPr>
                <w:b/>
                <w:bCs/>
              </w:rPr>
            </w:pPr>
            <w:r>
              <w:rPr>
                <w:b/>
                <w:bCs/>
              </w:rPr>
              <w:t>% A*-B</w:t>
            </w:r>
          </w:p>
        </w:tc>
        <w:tc>
          <w:tcPr>
            <w:tcW w:w="1984" w:type="dxa"/>
          </w:tcPr>
          <w:p w14:paraId="6312A009" w14:textId="4FF2F7C5" w:rsidR="00781AE8" w:rsidRDefault="00694F72" w:rsidP="008C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781AE8">
              <w:rPr>
                <w:b/>
                <w:bCs/>
              </w:rPr>
              <w:t>%</w:t>
            </w:r>
          </w:p>
        </w:tc>
      </w:tr>
      <w:tr w:rsidR="00781AE8" w14:paraId="27EF8387" w14:textId="77777777" w:rsidTr="00D03A33">
        <w:tc>
          <w:tcPr>
            <w:tcW w:w="4957" w:type="dxa"/>
          </w:tcPr>
          <w:p w14:paraId="01CE88EC" w14:textId="4FFB302B" w:rsidR="00781AE8" w:rsidRDefault="00781AE8" w:rsidP="008C09A9">
            <w:pPr>
              <w:rPr>
                <w:b/>
                <w:bCs/>
              </w:rPr>
            </w:pPr>
            <w:r>
              <w:rPr>
                <w:b/>
                <w:bCs/>
              </w:rPr>
              <w:t>% A*-</w:t>
            </w:r>
            <w:r w:rsidR="00694F72">
              <w:rPr>
                <w:b/>
                <w:bCs/>
              </w:rPr>
              <w:t>E</w:t>
            </w:r>
          </w:p>
        </w:tc>
        <w:tc>
          <w:tcPr>
            <w:tcW w:w="1984" w:type="dxa"/>
          </w:tcPr>
          <w:p w14:paraId="6B676487" w14:textId="6E37F41D" w:rsidR="00781AE8" w:rsidRDefault="00694F72" w:rsidP="008C0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99.7</w:t>
            </w:r>
            <w:r w:rsidR="00781AE8">
              <w:rPr>
                <w:b/>
                <w:bCs/>
              </w:rPr>
              <w:t>%</w:t>
            </w:r>
          </w:p>
        </w:tc>
      </w:tr>
      <w:tr w:rsidR="00694F72" w14:paraId="06E801BF" w14:textId="77777777" w:rsidTr="00D03A33">
        <w:tc>
          <w:tcPr>
            <w:tcW w:w="4957" w:type="dxa"/>
          </w:tcPr>
          <w:p w14:paraId="2A95A9EF" w14:textId="029F0C58" w:rsidR="00694F72" w:rsidRDefault="00694F72" w:rsidP="00694F72">
            <w:pPr>
              <w:rPr>
                <w:b/>
                <w:bCs/>
              </w:rPr>
            </w:pPr>
            <w:r>
              <w:rPr>
                <w:b/>
                <w:bCs/>
              </w:rPr>
              <w:t>Average Point Score per Applied (Vocational) Entry</w:t>
            </w:r>
          </w:p>
        </w:tc>
        <w:tc>
          <w:tcPr>
            <w:tcW w:w="1984" w:type="dxa"/>
          </w:tcPr>
          <w:p w14:paraId="4AA51223" w14:textId="3A9A00FB" w:rsidR="00694F72" w:rsidRDefault="00694F72" w:rsidP="00694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  <w:r w:rsidR="00D03A33">
              <w:rPr>
                <w:b/>
                <w:bCs/>
              </w:rPr>
              <w:t>8</w:t>
            </w:r>
          </w:p>
        </w:tc>
      </w:tr>
      <w:tr w:rsidR="00694F72" w14:paraId="0BAA74F3" w14:textId="77777777" w:rsidTr="00D03A33">
        <w:tc>
          <w:tcPr>
            <w:tcW w:w="4957" w:type="dxa"/>
          </w:tcPr>
          <w:p w14:paraId="0D97B09D" w14:textId="768D9CEA" w:rsidR="00694F72" w:rsidRDefault="00694F72" w:rsidP="00694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Dist</w:t>
            </w:r>
            <w:proofErr w:type="spellEnd"/>
            <w:r>
              <w:rPr>
                <w:b/>
                <w:bCs/>
              </w:rPr>
              <w:t xml:space="preserve">*- </w:t>
            </w:r>
            <w:proofErr w:type="spellStart"/>
            <w:r>
              <w:rPr>
                <w:b/>
                <w:bCs/>
              </w:rPr>
              <w:t>Dist</w:t>
            </w:r>
            <w:proofErr w:type="spellEnd"/>
          </w:p>
        </w:tc>
        <w:tc>
          <w:tcPr>
            <w:tcW w:w="1984" w:type="dxa"/>
          </w:tcPr>
          <w:p w14:paraId="0F5F41AB" w14:textId="0148158F" w:rsidR="00694F72" w:rsidRDefault="00D03A33" w:rsidP="00694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694F72">
              <w:rPr>
                <w:b/>
                <w:bCs/>
              </w:rPr>
              <w:t>%</w:t>
            </w:r>
          </w:p>
        </w:tc>
      </w:tr>
      <w:tr w:rsidR="00694F72" w14:paraId="08C38EC5" w14:textId="77777777" w:rsidTr="00D03A33">
        <w:tc>
          <w:tcPr>
            <w:tcW w:w="4957" w:type="dxa"/>
          </w:tcPr>
          <w:p w14:paraId="255536D1" w14:textId="2FBBF1F9" w:rsidR="00694F72" w:rsidRDefault="00694F72" w:rsidP="00694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Dist</w:t>
            </w:r>
            <w:proofErr w:type="spellEnd"/>
            <w:r>
              <w:rPr>
                <w:b/>
                <w:bCs/>
              </w:rPr>
              <w:t>*- Merit</w:t>
            </w:r>
          </w:p>
        </w:tc>
        <w:tc>
          <w:tcPr>
            <w:tcW w:w="1984" w:type="dxa"/>
          </w:tcPr>
          <w:p w14:paraId="5124ADAA" w14:textId="261E70BD" w:rsidR="00694F72" w:rsidRDefault="00D03A33" w:rsidP="00694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694F72">
              <w:rPr>
                <w:b/>
                <w:bCs/>
              </w:rPr>
              <w:t>%</w:t>
            </w:r>
          </w:p>
        </w:tc>
      </w:tr>
      <w:tr w:rsidR="00694F72" w14:paraId="01068E3F" w14:textId="77777777" w:rsidTr="00D03A33">
        <w:tc>
          <w:tcPr>
            <w:tcW w:w="4957" w:type="dxa"/>
          </w:tcPr>
          <w:p w14:paraId="3EFFBA06" w14:textId="0BE1B1D1" w:rsidR="00694F72" w:rsidRDefault="00694F72" w:rsidP="00694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Dist</w:t>
            </w:r>
            <w:proofErr w:type="spellEnd"/>
            <w:r>
              <w:rPr>
                <w:b/>
                <w:bCs/>
              </w:rPr>
              <w:t>*- Pass</w:t>
            </w:r>
          </w:p>
        </w:tc>
        <w:tc>
          <w:tcPr>
            <w:tcW w:w="1984" w:type="dxa"/>
          </w:tcPr>
          <w:p w14:paraId="73904727" w14:textId="1EDEAB06" w:rsidR="00694F72" w:rsidRDefault="00D03A33" w:rsidP="00694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716F6856" w14:textId="4AC5EA6F" w:rsidR="007B6167" w:rsidRDefault="007B6167" w:rsidP="00C27730"/>
    <w:p w14:paraId="25BF7E64" w14:textId="2069449D" w:rsidR="004B2F61" w:rsidRPr="004B2F61" w:rsidRDefault="004B2F61" w:rsidP="00C27730">
      <w:pPr>
        <w:rPr>
          <w:b/>
          <w:bCs/>
        </w:rPr>
      </w:pPr>
      <w:r>
        <w:rPr>
          <w:b/>
          <w:bCs/>
        </w:rPr>
        <w:t>Retention</w:t>
      </w:r>
    </w:p>
    <w:p w14:paraId="47E1794D" w14:textId="2DF10F89" w:rsidR="00C27730" w:rsidRDefault="004B2F61" w:rsidP="00C27730">
      <w:r>
        <w:t>The last official figures are from 2019 where or r</w:t>
      </w:r>
      <w:r w:rsidR="00C27730" w:rsidRPr="00C27730">
        <w:t xml:space="preserve">etention rates from the start of </w:t>
      </w:r>
      <w:r w:rsidR="00D03A33">
        <w:t>Y</w:t>
      </w:r>
      <w:r w:rsidR="00C27730" w:rsidRPr="00C27730">
        <w:t>ear 12 through to the end of A Level is 97.4% compared to 87.9%</w:t>
      </w:r>
      <w:r w:rsidR="004C1197">
        <w:t xml:space="preserve"> in North Tyneside</w:t>
      </w:r>
      <w:r w:rsidR="00C27730" w:rsidRPr="00C27730">
        <w:t>, and 83</w:t>
      </w:r>
      <w:r w:rsidR="004C1197">
        <w:t>.0</w:t>
      </w:r>
      <w:r w:rsidR="00C27730" w:rsidRPr="00C27730">
        <w:t xml:space="preserve">% for Applied courses </w:t>
      </w:r>
      <w:r w:rsidR="006F4BAE">
        <w:t xml:space="preserve">compared </w:t>
      </w:r>
      <w:proofErr w:type="gramStart"/>
      <w:r w:rsidR="006F4BAE">
        <w:t xml:space="preserve">to </w:t>
      </w:r>
      <w:r w:rsidR="00C27730" w:rsidRPr="00C27730">
        <w:t xml:space="preserve"> 82.9</w:t>
      </w:r>
      <w:proofErr w:type="gramEnd"/>
      <w:r w:rsidR="00C27730" w:rsidRPr="00C27730">
        <w:t>%.  Our attendance rates</w:t>
      </w:r>
      <w:r>
        <w:t xml:space="preserve"> </w:t>
      </w:r>
      <w:r w:rsidR="00C27730" w:rsidRPr="00C27730">
        <w:t>are also excellent at over 95%.</w:t>
      </w:r>
    </w:p>
    <w:p w14:paraId="0A9AD8E0" w14:textId="619A429D" w:rsidR="004B2F61" w:rsidRPr="00C27730" w:rsidRDefault="004B2F61" w:rsidP="00C27730">
      <w:pPr>
        <w:rPr>
          <w:b/>
          <w:bCs/>
        </w:rPr>
      </w:pPr>
      <w:r>
        <w:rPr>
          <w:b/>
          <w:bCs/>
        </w:rPr>
        <w:t>Destinations</w:t>
      </w:r>
    </w:p>
    <w:p w14:paraId="40CEC173" w14:textId="0ADEAAC2" w:rsidR="00C27730" w:rsidRPr="00C27730" w:rsidRDefault="004B2F61" w:rsidP="00C27730">
      <w:r>
        <w:t>From 2019 figures 91% of students progresses and stayed in education or training compared to 87% in North Tyneside and 81% nationally.</w:t>
      </w:r>
    </w:p>
    <w:p w14:paraId="55B6FC5E" w14:textId="77777777" w:rsidR="007B6167" w:rsidRPr="00DD5154" w:rsidRDefault="007B6167" w:rsidP="007B6167">
      <w:r w:rsidRPr="00DD5154">
        <w:t xml:space="preserve">Each school has information about their performance published on the Department for Education’s website. This allows parents to view their performance, characteristics, workforce, </w:t>
      </w:r>
      <w:proofErr w:type="gramStart"/>
      <w:r w:rsidRPr="00DD5154">
        <w:t>finance</w:t>
      </w:r>
      <w:proofErr w:type="gramEnd"/>
      <w:r w:rsidRPr="00DD5154">
        <w:t xml:space="preserve"> and Ofsted inspection outcomes.</w:t>
      </w:r>
    </w:p>
    <w:p w14:paraId="67FC8248" w14:textId="77777777" w:rsidR="007B6167" w:rsidRPr="00DD5154" w:rsidRDefault="007B6167" w:rsidP="007B6167">
      <w:r w:rsidRPr="00DD5154">
        <w:rPr>
          <w:b/>
          <w:bCs/>
        </w:rPr>
        <w:t>Find the link to the Department for Education School Performance tables below:</w:t>
      </w:r>
    </w:p>
    <w:p w14:paraId="5D1EDFB8" w14:textId="77777777" w:rsidR="007B6167" w:rsidRPr="00DD5154" w:rsidRDefault="009A5699" w:rsidP="007B6167">
      <w:hyperlink r:id="rId5" w:history="1">
        <w:r w:rsidR="007B6167" w:rsidRPr="00DD5154">
          <w:rPr>
            <w:rStyle w:val="Hyperlink"/>
          </w:rPr>
          <w:t>DfE School Performance Tables</w:t>
        </w:r>
      </w:hyperlink>
    </w:p>
    <w:p w14:paraId="2F10C35B" w14:textId="77777777" w:rsidR="00C27730" w:rsidRPr="00C27730" w:rsidRDefault="00C27730">
      <w:pPr>
        <w:rPr>
          <w:color w:val="FF0000"/>
        </w:rPr>
      </w:pPr>
    </w:p>
    <w:sectPr w:rsidR="00C27730" w:rsidRPr="00C27730" w:rsidSect="00C2773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A"/>
    <w:rsid w:val="00251F00"/>
    <w:rsid w:val="002A753A"/>
    <w:rsid w:val="004B2F61"/>
    <w:rsid w:val="004C1197"/>
    <w:rsid w:val="00694F72"/>
    <w:rsid w:val="006F4BAE"/>
    <w:rsid w:val="00781AE8"/>
    <w:rsid w:val="007B6167"/>
    <w:rsid w:val="008A04B8"/>
    <w:rsid w:val="009A5699"/>
    <w:rsid w:val="009B632F"/>
    <w:rsid w:val="00C27730"/>
    <w:rsid w:val="00CC61EC"/>
    <w:rsid w:val="00D03A33"/>
    <w:rsid w:val="00DD424C"/>
    <w:rsid w:val="00D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5028"/>
  <w15:chartTrackingRefBased/>
  <w15:docId w15:val="{3B01FF40-2A8E-4510-A59A-C21E17BA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1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are-school-performance.service.gov.uk/school/137734" TargetMode="External"/><Relationship Id="rId4" Type="http://schemas.openxmlformats.org/officeDocument/2006/relationships/hyperlink" Target="https://www.compare-school-performance.service.gov.uk/school/137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Thomas More Catholic High School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Watson</dc:creator>
  <cp:keywords/>
  <dc:description/>
  <cp:lastModifiedBy>Andrew Merchant</cp:lastModifiedBy>
  <cp:revision>2</cp:revision>
  <dcterms:created xsi:type="dcterms:W3CDTF">2022-09-16T15:04:00Z</dcterms:created>
  <dcterms:modified xsi:type="dcterms:W3CDTF">2022-09-16T15:04:00Z</dcterms:modified>
</cp:coreProperties>
</file>